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240"/>
      </w:pPr>
      <w:r>
        <w:rPr>
          <w:rFonts w:ascii="Arial" w:cs="Arial" w:eastAsia="Arial" w:hAnsi="Arial"/>
          <w:b/>
          <w:bCs/>
          <w:color w:val="1A3C6B"/>
          <w:sz w:val="32"/>
          <w:szCs w:val="32"/>
        </w:rPr>
        <w:t xml:space="preserve">Affordable Housing Policy 2025–2030</w:t>
      </w:r>
    </w:p>
    <w:p>
      <w:pPr>
        <w:pBdr>
          <w:bottom w:val="single" w:color="1A3C6B" w:sz="6" w:space="1"/>
        </w:pBd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b/>
                <w:bCs/>
                <w:sz w:val="20"/>
                <w:szCs w:val="20"/>
              </w:rPr>
              <w:t xml:space="preserve">Policy Reference:</w:t>
            </w:r>
          </w:p>
        </w:tc>
        <w:tc>
          <w:tcPr>
            <w:tcW w:type="dxa" w:w="624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sz w:val="20"/>
                <w:szCs w:val="20"/>
              </w:rPr>
              <w:t xml:space="preserve">HSG-POL-2025-01</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Department:</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Housing &amp; Communities</w:t>
            </w:r>
          </w:p>
        </w:tc>
      </w:tr>
      <w:tr>
        <w:tc>
          <w:tcPr>
            <w:tcW w:type="dxa" w:w="312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b/>
                <w:bCs/>
                <w:sz w:val="20"/>
                <w:szCs w:val="20"/>
              </w:rPr>
              <w:t xml:space="preserve">Approved By:</w:t>
            </w:r>
          </w:p>
        </w:tc>
        <w:tc>
          <w:tcPr>
            <w:tcW w:type="dxa" w:w="624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sz w:val="20"/>
                <w:szCs w:val="20"/>
              </w:rPr>
              <w:t xml:space="preserve">Cabinet, 18 February 2025</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Effective Date:</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 April 2025</w:t>
            </w:r>
          </w:p>
        </w:tc>
      </w:tr>
      <w:tr>
        <w:tc>
          <w:tcPr>
            <w:tcW w:type="dxa" w:w="312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b/>
                <w:bCs/>
                <w:sz w:val="20"/>
                <w:szCs w:val="20"/>
              </w:rPr>
              <w:t xml:space="preserve">Review Date:</w:t>
            </w:r>
          </w:p>
        </w:tc>
        <w:tc>
          <w:tcPr>
            <w:tcW w:type="dxa" w:w="6240"/>
            <w:tcBorders>
              <w:top w:val="single" w:color="CCCCCC" w:sz="1"/>
              <w:left w:val="single" w:color="CCCCCC" w:sz="1"/>
              <w:bottom w:val="single" w:color="CCCCCC" w:sz="1"/>
              <w:right w:val="single" w:color="CCCCCC" w:sz="1"/>
            </w:tcBorders>
            <w:shd w:fill="EEF3FA" w:val="clear"/>
            <w:tcMar>
              <w:top w:type="dxa" w:w="80"/>
              <w:left w:type="dxa" w:w="120"/>
              <w:bottom w:type="dxa" w:w="80"/>
              <w:right w:type="dxa" w:w="120"/>
            </w:tcMar>
          </w:tcPr>
          <w:p>
            <w:r>
              <w:rPr>
                <w:rFonts w:ascii="Arial" w:cs="Arial" w:eastAsia="Arial" w:hAnsi="Arial"/>
                <w:sz w:val="20"/>
                <w:szCs w:val="20"/>
              </w:rPr>
              <w:t xml:space="preserve">March 2028</w:t>
            </w:r>
          </w:p>
        </w:tc>
      </w:tr>
      <w:tr>
        <w:tc>
          <w:tcPr>
            <w:tcW w:type="dxa" w:w="312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sz w:val="20"/>
                <w:szCs w:val="20"/>
              </w:rPr>
              <w:t xml:space="preserve">Version:</w:t>
            </w:r>
          </w:p>
        </w:tc>
        <w:tc>
          <w:tcPr>
            <w:tcW w:type="dxa" w:w="624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v1.0</w:t>
            </w:r>
          </w:p>
        </w:tc>
      </w:tr>
    </w:tbl>
    <w:p>
      <w:pPr>
        <w:spacing w:after="200"/>
      </w:pPr>
    </w:p>
    <w:p>
      <w:pPr>
        <w:pStyle w:val="Heading2"/>
        <w:spacing w:after="100" w:before="200"/>
      </w:pPr>
      <w:r>
        <w:rPr>
          <w:rFonts w:ascii="Arial" w:cs="Arial" w:eastAsia="Arial" w:hAnsi="Arial"/>
          <w:b/>
          <w:bCs/>
          <w:color w:val="2E5EA8"/>
          <w:sz w:val="26"/>
          <w:szCs w:val="26"/>
        </w:rPr>
        <w:t xml:space="preserve">1. Purpose and Scope</w:t>
      </w:r>
    </w:p>
    <w:p>
      <w:pPr>
        <w:spacing w:after="160"/>
        <w:jc w:val="left"/>
      </w:pPr>
      <w:r>
        <w:rPr>
          <w:rFonts w:ascii="Arial" w:cs="Arial" w:eastAsia="Arial" w:hAnsi="Arial"/>
          <w:sz w:val="22"/>
          <w:szCs w:val="22"/>
        </w:rPr>
        <w:t xml:space="preserve">This policy sets out Ambridge District Council's approach to delivering and protecting affordable housing across the district for the period 2025 to 2030. It applies to all residential development proposals requiring planning permission and to the management of the Council's existing affordable housing stock.</w:t>
      </w:r>
    </w:p>
    <w:p>
      <w:pPr>
        <w:pStyle w:val="Heading2"/>
        <w:spacing w:after="100" w:before="200"/>
      </w:pPr>
      <w:r>
        <w:rPr>
          <w:rFonts w:ascii="Arial" w:cs="Arial" w:eastAsia="Arial" w:hAnsi="Arial"/>
          <w:b/>
          <w:bCs/>
          <w:color w:val="2E5EA8"/>
          <w:sz w:val="26"/>
          <w:szCs w:val="26"/>
        </w:rPr>
        <w:t xml:space="preserve">2. Policy Objectives</w:t>
      </w:r>
    </w:p>
    <w:p>
      <w:pPr>
        <w:pStyle w:val="ListParagraph"/>
        <w:numPr>
          <w:ilvl w:val="0"/>
          <w:numId w:val="2"/>
        </w:numPr>
        <w:spacing w:after="80"/>
      </w:pPr>
      <w:r>
        <w:rPr>
          <w:rFonts w:ascii="Arial" w:cs="Arial" w:eastAsia="Arial" w:hAnsi="Arial"/>
          <w:sz w:val="22"/>
          <w:szCs w:val="22"/>
        </w:rPr>
        <w:t xml:space="preserve">Increase the supply of affordable homes to meet identified local housing need</w:t>
      </w:r>
    </w:p>
    <w:p>
      <w:pPr>
        <w:pStyle w:val="ListParagraph"/>
        <w:numPr>
          <w:ilvl w:val="0"/>
          <w:numId w:val="2"/>
        </w:numPr>
        <w:spacing w:after="80"/>
      </w:pPr>
      <w:r>
        <w:rPr>
          <w:rFonts w:ascii="Arial" w:cs="Arial" w:eastAsia="Arial" w:hAnsi="Arial"/>
          <w:sz w:val="22"/>
          <w:szCs w:val="22"/>
        </w:rPr>
        <w:t xml:space="preserve">Ensure a mix of affordable tenures including social rent, affordable rent, and shared ownership</w:t>
      </w:r>
    </w:p>
    <w:p>
      <w:pPr>
        <w:pStyle w:val="ListParagraph"/>
        <w:numPr>
          <w:ilvl w:val="0"/>
          <w:numId w:val="2"/>
        </w:numPr>
        <w:spacing w:after="80"/>
      </w:pPr>
      <w:r>
        <w:rPr>
          <w:rFonts w:ascii="Arial" w:cs="Arial" w:eastAsia="Arial" w:hAnsi="Arial"/>
          <w:sz w:val="22"/>
          <w:szCs w:val="22"/>
        </w:rPr>
        <w:t xml:space="preserve">Protect existing affordable homes from loss through right-to-buy or change of use</w:t>
      </w:r>
    </w:p>
    <w:p>
      <w:pPr>
        <w:pStyle w:val="ListParagraph"/>
        <w:numPr>
          <w:ilvl w:val="0"/>
          <w:numId w:val="2"/>
        </w:numPr>
        <w:spacing w:after="80"/>
      </w:pPr>
      <w:r>
        <w:rPr>
          <w:rFonts w:ascii="Arial" w:cs="Arial" w:eastAsia="Arial" w:hAnsi="Arial"/>
          <w:sz w:val="22"/>
          <w:szCs w:val="22"/>
        </w:rPr>
        <w:t xml:space="preserve">Work in partnership with Registered Providers to improve the quality of affordable homes</w:t>
      </w:r>
    </w:p>
    <w:p>
      <w:pPr>
        <w:pStyle w:val="ListParagraph"/>
        <w:numPr>
          <w:ilvl w:val="0"/>
          <w:numId w:val="2"/>
        </w:numPr>
        <w:spacing w:after="80"/>
      </w:pPr>
      <w:r>
        <w:rPr>
          <w:rFonts w:ascii="Arial" w:cs="Arial" w:eastAsia="Arial" w:hAnsi="Arial"/>
          <w:sz w:val="22"/>
          <w:szCs w:val="22"/>
        </w:rPr>
        <w:t xml:space="preserve">Address homelessness through a preventative approach and rapid rehousing</w:t>
      </w:r>
    </w:p>
    <w:p>
      <w:pPr>
        <w:pStyle w:val="Heading2"/>
        <w:spacing w:after="100" w:before="200"/>
      </w:pPr>
      <w:r>
        <w:rPr>
          <w:rFonts w:ascii="Arial" w:cs="Arial" w:eastAsia="Arial" w:hAnsi="Arial"/>
          <w:b/>
          <w:bCs/>
          <w:color w:val="2E5EA8"/>
          <w:sz w:val="26"/>
          <w:szCs w:val="26"/>
        </w:rPr>
        <w:t xml:space="preserve">3. Affordable Housing Targets</w:t>
      </w:r>
    </w:p>
    <w:p>
      <w:pPr>
        <w:spacing w:after="160"/>
        <w:jc w:val="left"/>
      </w:pPr>
      <w:r>
        <w:rPr>
          <w:rFonts w:ascii="Arial" w:cs="Arial" w:eastAsia="Arial" w:hAnsi="Arial"/>
          <w:sz w:val="22"/>
          <w:szCs w:val="22"/>
        </w:rPr>
        <w:t xml:space="preserve">On all sites delivering 10 or more dwellings, the Council will seek a minimum of 35% affordable housing. On strategic allocations of 100 or more units, the target increases to 40%. The tenure split shall be 70% social/affordable rent and 30% intermediate affordable products unless the Council agrees otherwise.</w:t>
      </w:r>
    </w:p>
    <w:p>
      <w:pPr>
        <w:pStyle w:val="Heading2"/>
        <w:spacing w:after="100" w:before="200"/>
      </w:pPr>
      <w:r>
        <w:rPr>
          <w:rFonts w:ascii="Arial" w:cs="Arial" w:eastAsia="Arial" w:hAnsi="Arial"/>
          <w:b/>
          <w:bCs/>
          <w:color w:val="2E5EA8"/>
          <w:sz w:val="26"/>
          <w:szCs w:val="26"/>
        </w:rPr>
        <w:t xml:space="preserve">4. Viability</w:t>
      </w:r>
    </w:p>
    <w:p>
      <w:pPr>
        <w:spacing w:after="160"/>
        <w:jc w:val="left"/>
      </w:pPr>
      <w:r>
        <w:rPr>
          <w:rFonts w:ascii="Arial" w:cs="Arial" w:eastAsia="Arial" w:hAnsi="Arial"/>
          <w:sz w:val="22"/>
          <w:szCs w:val="22"/>
        </w:rPr>
        <w:t xml:space="preserve">Where applicants claim that the standard affordable housing requirement cannot be achieved due to development viability, an independent assessment will be required at the applicant's expense. The Council will assess viability evidence against current benchmark land values and an appropriate developer return.</w:t>
      </w:r>
    </w:p>
    <w:p>
      <w:pPr>
        <w:pStyle w:val="Heading2"/>
        <w:spacing w:after="100" w:before="200"/>
      </w:pPr>
      <w:r>
        <w:rPr>
          <w:rFonts w:ascii="Arial" w:cs="Arial" w:eastAsia="Arial" w:hAnsi="Arial"/>
          <w:b/>
          <w:bCs/>
          <w:color w:val="2E5EA8"/>
          <w:sz w:val="26"/>
          <w:szCs w:val="26"/>
        </w:rPr>
        <w:t xml:space="preserve">5. Monitoring and Review</w:t>
      </w:r>
    </w:p>
    <w:p>
      <w:pPr>
        <w:spacing w:after="160"/>
        <w:jc w:val="left"/>
      </w:pPr>
      <w:r>
        <w:rPr>
          <w:rFonts w:ascii="Arial" w:cs="Arial" w:eastAsia="Arial" w:hAnsi="Arial"/>
          <w:sz w:val="22"/>
          <w:szCs w:val="22"/>
        </w:rPr>
        <w:t xml:space="preserve">The Housing Strategy team will monitor delivery against this policy annually. A full review will be carried out in 2028 or sooner if material changes in housing need or national policy require it.</w:t>
      </w:r>
    </w:p>
    <w:p>
      <w:pPr>
        <w:spacing w:after="200"/>
      </w:pPr>
    </w:p>
    <w:p>
      <w:pPr>
        <w:pBdr>
          <w:bottom w:val="single" w:color="1A3C6B" w:sz="6" w:space="1"/>
        </w:pBdr>
        <w:spacing w:after="160"/>
      </w:pPr>
    </w:p>
    <w:p>
      <w:pPr>
        <w:spacing w:after="160"/>
        <w:jc w:val="left"/>
      </w:pPr>
      <w:r>
        <w:rPr>
          <w:rFonts w:ascii="Arial" w:cs="Arial" w:eastAsia="Arial" w:hAnsi="Arial"/>
          <w:i/>
          <w:iCs/>
          <w:sz w:val="22"/>
          <w:szCs w:val="22"/>
        </w:rPr>
        <w:t xml:space="preserve">Approved by Cabinet on 18 February 2025. For queries contact housing.strategy@ambridge.gov.uk</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8"/>
        <w:szCs w:val="18"/>
      </w:rPr>
      <w:t xml:space="preserve">Ambridge District Council  •  Page </w:t>
    </w:r>
    <w:r>
      <w:rPr>
        <w:rFonts w:ascii="Arial" w:cs="Arial" w:eastAsia="Arial" w:hAnsi="Arial"/>
        <w:color w:val="666666"/>
        <w:sz w:val="18"/>
        <w:szCs w:val="18"/>
      </w:rPr>
      <w:fldChar w:fldCharType="begin"/>
      <w:instrText xml:space="preserve">PAGE</w:instrText>
      <w:fldChar w:fldCharType="separate"/>
      <w:fldChar w:fldCharType="end"/>
    </w:r>
    <w:r>
      <w:rPr>
        <w:rFonts w:ascii="Arial" w:cs="Arial" w:eastAsia="Arial" w:hAnsi="Arial"/>
        <w:color w:val="666666"/>
        <w:sz w:val="18"/>
        <w:szCs w:val="18"/>
      </w:rPr>
      <w:t xml:space="preserve">  •  Confidential unless stated otherwise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3C6B" w:sz="6" w:space="1"/>
      </w:pBdr>
      <w:spacing w:after="80"/>
    </w:pPr>
    <w:r>
      <w:rPr>
        <w:rFonts w:ascii="Arial" w:cs="Arial" w:eastAsia="Arial" w:hAnsi="Arial"/>
        <w:b/>
        <w:bCs/>
        <w:color w:val="1A3C6B"/>
        <w:sz w:val="18"/>
        <w:szCs w:val="18"/>
      </w:rPr>
      <w:t xml:space="preserve">AMBRIDGE DISTRICT COUNCIL  |  Democratic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Arial" w:cs="Arial" w:eastAsia="Arial" w:hAnsi="Arial"/>
      <w:b/>
      <w:bCs/>
      <w:color w:val="1A3C6B"/>
      <w:sz w:val="32"/>
      <w:szCs w:val="32"/>
    </w:rPr>
  </w:style>
  <w:style w:type="paragraph" w:styleId="Heading2">
    <w:name w:val="Heading 2"/>
    <w:basedOn w:val="Normal"/>
    <w:next w:val="Normal"/>
    <w:qFormat/>
    <w:pPr>
      <w:spacing w:after="180" w:before="180"/>
      <w:outlineLvl w:val="1"/>
    </w:pPr>
    <w:rPr>
      <w:rFonts w:ascii="Arial" w:cs="Arial" w:eastAsia="Arial" w:hAnsi="Arial"/>
      <w:b/>
      <w:bCs/>
      <w:color w:val="2E5EA8"/>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2026-04-18T18:54:43.382Z</dcterms:created>
  <dcterms:modified xsi:type="dcterms:W3CDTF">2026-04-18T18:54:43.382Z</dcterms:modified>
</cp:coreProperties>
</file>

<file path=docProps/custom.xml><?xml version="1.0" encoding="utf-8"?>
<Properties xmlns="http://schemas.openxmlformats.org/officeDocument/2006/custom-properties" xmlns:vt="http://schemas.openxmlformats.org/officeDocument/2006/docPropsVTypes"/>
</file>