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120" w:before="240"/>
      </w:pPr>
      <w:r>
        <w:rPr>
          <w:rFonts w:ascii="Arial" w:cs="Arial" w:eastAsia="Arial" w:hAnsi="Arial"/>
          <w:b/>
          <w:bCs/>
          <w:color w:val="1A3C6B"/>
          <w:sz w:val="32"/>
          <w:szCs w:val="32"/>
        </w:rPr>
        <w:t xml:space="preserve">Business Rates Discretionary Relief Policy 2025</w:t>
      </w:r>
    </w:p>
    <w:p>
      <w:pPr>
        <w:pBdr>
          <w:bottom w:val="single" w:color="1A3C6B" w:sz="6" w:space="1"/>
        </w:pBdr>
        <w:spacing w:after="1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6240"/>
      </w:tblGrid>
      <w:tr>
        <w:tc>
          <w:tcPr>
            <w:tcW w:type="dxa" w:w="3120"/>
            <w:tcBorders>
              <w:top w:val="single" w:color="CCCCCC" w:sz="1"/>
              <w:left w:val="single" w:color="CCCCCC" w:sz="1"/>
              <w:bottom w:val="single" w:color="CCCCCC" w:sz="1"/>
              <w:right w:val="single" w:color="CCCCCC" w:sz="1"/>
            </w:tcBorders>
            <w:shd w:fill="EEF3FA" w:val="clear"/>
            <w:tcMar>
              <w:top w:type="dxa" w:w="80"/>
              <w:left w:type="dxa" w:w="120"/>
              <w:bottom w:type="dxa" w:w="80"/>
              <w:right w:type="dxa" w:w="120"/>
            </w:tcMar>
          </w:tcPr>
          <w:p>
            <w:r>
              <w:rPr>
                <w:rFonts w:ascii="Arial" w:cs="Arial" w:eastAsia="Arial" w:hAnsi="Arial"/>
                <w:b/>
                <w:bCs/>
                <w:sz w:val="20"/>
                <w:szCs w:val="20"/>
              </w:rPr>
              <w:t xml:space="preserve">Policy Ref:</w:t>
            </w:r>
          </w:p>
        </w:tc>
        <w:tc>
          <w:tcPr>
            <w:tcW w:type="dxa" w:w="6240"/>
            <w:tcBorders>
              <w:top w:val="single" w:color="CCCCCC" w:sz="1"/>
              <w:left w:val="single" w:color="CCCCCC" w:sz="1"/>
              <w:bottom w:val="single" w:color="CCCCCC" w:sz="1"/>
              <w:right w:val="single" w:color="CCCCCC" w:sz="1"/>
            </w:tcBorders>
            <w:shd w:fill="EEF3FA" w:val="clear"/>
            <w:tcMar>
              <w:top w:type="dxa" w:w="80"/>
              <w:left w:type="dxa" w:w="120"/>
              <w:bottom w:type="dxa" w:w="80"/>
              <w:right w:type="dxa" w:w="120"/>
            </w:tcMar>
          </w:tcPr>
          <w:p>
            <w:r>
              <w:rPr>
                <w:rFonts w:ascii="Arial" w:cs="Arial" w:eastAsia="Arial" w:hAnsi="Arial"/>
                <w:sz w:val="20"/>
                <w:szCs w:val="20"/>
              </w:rPr>
              <w:t xml:space="preserve">RB-POL-BR-2025</w:t>
            </w:r>
          </w:p>
        </w:tc>
      </w:tr>
      <w:tr>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sz w:val="20"/>
                <w:szCs w:val="20"/>
              </w:rPr>
              <w:t xml:space="preserve">Department:</w:t>
            </w:r>
          </w:p>
        </w:tc>
        <w:tc>
          <w:tcPr>
            <w:tcW w:type="dxa" w:w="62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Revenues &amp; Benefits</w:t>
            </w:r>
          </w:p>
        </w:tc>
      </w:tr>
      <w:tr>
        <w:tc>
          <w:tcPr>
            <w:tcW w:type="dxa" w:w="3120"/>
            <w:tcBorders>
              <w:top w:val="single" w:color="CCCCCC" w:sz="1"/>
              <w:left w:val="single" w:color="CCCCCC" w:sz="1"/>
              <w:bottom w:val="single" w:color="CCCCCC" w:sz="1"/>
              <w:right w:val="single" w:color="CCCCCC" w:sz="1"/>
            </w:tcBorders>
            <w:shd w:fill="EEF3FA" w:val="clear"/>
            <w:tcMar>
              <w:top w:type="dxa" w:w="80"/>
              <w:left w:type="dxa" w:w="120"/>
              <w:bottom w:type="dxa" w:w="80"/>
              <w:right w:type="dxa" w:w="120"/>
            </w:tcMar>
          </w:tcPr>
          <w:p>
            <w:r>
              <w:rPr>
                <w:rFonts w:ascii="Arial" w:cs="Arial" w:eastAsia="Arial" w:hAnsi="Arial"/>
                <w:b/>
                <w:bCs/>
                <w:sz w:val="20"/>
                <w:szCs w:val="20"/>
              </w:rPr>
              <w:t xml:space="preserve">Approved By:</w:t>
            </w:r>
          </w:p>
        </w:tc>
        <w:tc>
          <w:tcPr>
            <w:tcW w:type="dxa" w:w="6240"/>
            <w:tcBorders>
              <w:top w:val="single" w:color="CCCCCC" w:sz="1"/>
              <w:left w:val="single" w:color="CCCCCC" w:sz="1"/>
              <w:bottom w:val="single" w:color="CCCCCC" w:sz="1"/>
              <w:right w:val="single" w:color="CCCCCC" w:sz="1"/>
            </w:tcBorders>
            <w:shd w:fill="EEF3FA" w:val="clear"/>
            <w:tcMar>
              <w:top w:type="dxa" w:w="80"/>
              <w:left w:type="dxa" w:w="120"/>
              <w:bottom w:type="dxa" w:w="80"/>
              <w:right w:type="dxa" w:w="120"/>
            </w:tcMar>
          </w:tcPr>
          <w:p>
            <w:r>
              <w:rPr>
                <w:rFonts w:ascii="Arial" w:cs="Arial" w:eastAsia="Arial" w:hAnsi="Arial"/>
                <w:sz w:val="20"/>
                <w:szCs w:val="20"/>
              </w:rPr>
              <w:t xml:space="preserve">Cabinet, 9 April 2025</w:t>
            </w:r>
          </w:p>
        </w:tc>
      </w:tr>
      <w:tr>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sz w:val="20"/>
                <w:szCs w:val="20"/>
              </w:rPr>
              <w:t xml:space="preserve">Classification:</w:t>
            </w:r>
          </w:p>
        </w:tc>
        <w:tc>
          <w:tcPr>
            <w:tcW w:type="dxa" w:w="62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Public</w:t>
            </w:r>
          </w:p>
        </w:tc>
      </w:tr>
    </w:tbl>
    <w:p>
      <w:pPr>
        <w:spacing w:after="200"/>
      </w:pPr>
    </w:p>
    <w:p>
      <w:pPr>
        <w:pStyle w:val="Heading2"/>
        <w:spacing w:after="100" w:before="200"/>
      </w:pPr>
      <w:r>
        <w:rPr>
          <w:rFonts w:ascii="Arial" w:cs="Arial" w:eastAsia="Arial" w:hAnsi="Arial"/>
          <w:b/>
          <w:bCs/>
          <w:color w:val="2E5EA8"/>
          <w:sz w:val="26"/>
          <w:szCs w:val="26"/>
        </w:rPr>
        <w:t xml:space="preserve">1. Introduction</w:t>
      </w:r>
    </w:p>
    <w:p>
      <w:pPr>
        <w:spacing w:after="140"/>
      </w:pPr>
      <w:r>
        <w:rPr>
          <w:rFonts w:ascii="Arial" w:cs="Arial" w:eastAsia="Arial" w:hAnsi="Arial"/>
          <w:sz w:val="22"/>
          <w:szCs w:val="22"/>
        </w:rPr>
        <w:t xml:space="preserve">Business rates (Non-Domestic Rates) are a tax on the occupation of non-domestic premises. Local authorities have powers to grant discretionary relief from business rates in certain circumstances. This policy sets out the criteria Ambridge District Council applies when considering applications for discretionary relief.</w:t>
      </w:r>
    </w:p>
    <w:p>
      <w:pPr>
        <w:pStyle w:val="Heading2"/>
        <w:spacing w:after="100" w:before="200"/>
      </w:pPr>
      <w:r>
        <w:rPr>
          <w:rFonts w:ascii="Arial" w:cs="Arial" w:eastAsia="Arial" w:hAnsi="Arial"/>
          <w:b/>
          <w:bCs/>
          <w:color w:val="2E5EA8"/>
          <w:sz w:val="26"/>
          <w:szCs w:val="26"/>
        </w:rPr>
        <w:t xml:space="preserve">2. Mandatory Reliefs</w:t>
      </w:r>
    </w:p>
    <w:p>
      <w:pPr>
        <w:spacing w:after="140"/>
      </w:pPr>
      <w:r>
        <w:rPr>
          <w:rFonts w:ascii="Arial" w:cs="Arial" w:eastAsia="Arial" w:hAnsi="Arial"/>
          <w:sz w:val="22"/>
          <w:szCs w:val="22"/>
        </w:rPr>
        <w:t xml:space="preserve">The following reliefs are mandatory and are applied automatically where the qualifying criteria are met:</w:t>
      </w:r>
    </w:p>
    <w:p>
      <w:pPr>
        <w:pStyle w:val="ListParagraph"/>
        <w:numPr>
          <w:ilvl w:val="0"/>
          <w:numId w:val="2"/>
        </w:numPr>
        <w:spacing w:after="80"/>
      </w:pPr>
      <w:r>
        <w:rPr>
          <w:rFonts w:ascii="Arial" w:cs="Arial" w:eastAsia="Arial" w:hAnsi="Arial"/>
          <w:sz w:val="22"/>
          <w:szCs w:val="22"/>
        </w:rPr>
        <w:t xml:space="preserve">Small Business Rate Relief: for properties with a rateable value below £15,000</w:t>
      </w:r>
    </w:p>
    <w:p>
      <w:pPr>
        <w:pStyle w:val="ListParagraph"/>
        <w:numPr>
          <w:ilvl w:val="0"/>
          <w:numId w:val="2"/>
        </w:numPr>
        <w:spacing w:after="80"/>
      </w:pPr>
      <w:r>
        <w:rPr>
          <w:rFonts w:ascii="Arial" w:cs="Arial" w:eastAsia="Arial" w:hAnsi="Arial"/>
          <w:sz w:val="22"/>
          <w:szCs w:val="22"/>
        </w:rPr>
        <w:t xml:space="preserve">Charity Relief: 80% mandatory relief for charities</w:t>
      </w:r>
    </w:p>
    <w:p>
      <w:pPr>
        <w:pStyle w:val="ListParagraph"/>
        <w:numPr>
          <w:ilvl w:val="0"/>
          <w:numId w:val="2"/>
        </w:numPr>
        <w:spacing w:after="80"/>
      </w:pPr>
      <w:r>
        <w:rPr>
          <w:rFonts w:ascii="Arial" w:cs="Arial" w:eastAsia="Arial" w:hAnsi="Arial"/>
          <w:sz w:val="22"/>
          <w:szCs w:val="22"/>
        </w:rPr>
        <w:t xml:space="preserve">Rural Rate Relief: for certain businesses in rural areas with a population below 3,000</w:t>
      </w:r>
    </w:p>
    <w:p>
      <w:pPr>
        <w:pStyle w:val="ListParagraph"/>
        <w:numPr>
          <w:ilvl w:val="0"/>
          <w:numId w:val="2"/>
        </w:numPr>
        <w:spacing w:after="80"/>
      </w:pPr>
      <w:r>
        <w:rPr>
          <w:rFonts w:ascii="Arial" w:cs="Arial" w:eastAsia="Arial" w:hAnsi="Arial"/>
          <w:sz w:val="22"/>
          <w:szCs w:val="22"/>
        </w:rPr>
        <w:t xml:space="preserve">Retail, Hospitality and Leisure Relief (where applicable under government scheme)</w:t>
      </w:r>
    </w:p>
    <w:p>
      <w:pPr>
        <w:pStyle w:val="Heading2"/>
        <w:spacing w:after="100" w:before="200"/>
      </w:pPr>
      <w:r>
        <w:rPr>
          <w:rFonts w:ascii="Arial" w:cs="Arial" w:eastAsia="Arial" w:hAnsi="Arial"/>
          <w:b/>
          <w:bCs/>
          <w:color w:val="2E5EA8"/>
          <w:sz w:val="26"/>
          <w:szCs w:val="26"/>
        </w:rPr>
        <w:t xml:space="preserve">3. Discretionary Reliefs</w:t>
      </w:r>
    </w:p>
    <w:p>
      <w:pPr>
        <w:spacing w:after="140"/>
      </w:pPr>
      <w:r>
        <w:rPr>
          <w:rFonts w:ascii="Arial" w:cs="Arial" w:eastAsia="Arial" w:hAnsi="Arial"/>
          <w:b/>
          <w:bCs/>
          <w:sz w:val="22"/>
          <w:szCs w:val="22"/>
        </w:rPr>
        <w:t xml:space="preserve">Charitable and Non-Profit Organisations (up to 20% top-up)</w:t>
      </w:r>
    </w:p>
    <w:p>
      <w:pPr>
        <w:spacing w:after="140"/>
      </w:pPr>
      <w:r>
        <w:rPr>
          <w:rFonts w:ascii="Arial" w:cs="Arial" w:eastAsia="Arial" w:hAnsi="Arial"/>
          <w:sz w:val="22"/>
          <w:szCs w:val="22"/>
        </w:rPr>
        <w:t xml:space="preserve">Registered charities and non-profit organisations already in receipt of 80% mandatory relief may apply for up to a further 20% discretionary top-up.</w:t>
      </w:r>
    </w:p>
    <w:p>
      <w:pPr>
        <w:spacing w:after="140"/>
      </w:pPr>
      <w:r>
        <w:rPr>
          <w:rFonts w:ascii="Arial" w:cs="Arial" w:eastAsia="Arial" w:hAnsi="Arial"/>
          <w:b/>
          <w:bCs/>
          <w:sz w:val="22"/>
          <w:szCs w:val="22"/>
        </w:rPr>
        <w:t xml:space="preserve">Hardship Relief</w:t>
      </w:r>
    </w:p>
    <w:p>
      <w:pPr>
        <w:spacing w:after="140"/>
      </w:pPr>
      <w:r>
        <w:rPr>
          <w:rFonts w:ascii="Arial" w:cs="Arial" w:eastAsia="Arial" w:hAnsi="Arial"/>
          <w:sz w:val="22"/>
          <w:szCs w:val="22"/>
        </w:rPr>
        <w:t xml:space="preserve">Businesses suffering severe financial hardship may apply for temporary relief. Applications are assessed on a case-by-case basis. Applicants must demonstrate that the business makes a significant contribution to the local community and that granting relief is in the interests of local taxpayers.</w:t>
      </w:r>
    </w:p>
    <w:p>
      <w:pPr>
        <w:spacing w:after="140"/>
      </w:pPr>
      <w:r>
        <w:rPr>
          <w:rFonts w:ascii="Arial" w:cs="Arial" w:eastAsia="Arial" w:hAnsi="Arial"/>
          <w:b/>
          <w:bCs/>
          <w:sz w:val="22"/>
          <w:szCs w:val="22"/>
        </w:rPr>
        <w:t xml:space="preserve">Local Discretionary Relief</w:t>
      </w:r>
    </w:p>
    <w:p>
      <w:pPr>
        <w:spacing w:after="140"/>
      </w:pPr>
      <w:r>
        <w:rPr>
          <w:rFonts w:ascii="Arial" w:cs="Arial" w:eastAsia="Arial" w:hAnsi="Arial"/>
          <w:sz w:val="22"/>
          <w:szCs w:val="22"/>
        </w:rPr>
        <w:t xml:space="preserve">The Council may grant discretionary relief to any ratepayer where it is satisfied that it is reasonable to do so having regard to the interests of persons liable to pay council tax in the area. Priority will be given to social enterprises, community interest companies, and businesses providing essential services in areas of deprivation.</w:t>
      </w:r>
    </w:p>
    <w:p>
      <w:pPr>
        <w:pStyle w:val="Heading2"/>
        <w:spacing w:after="100" w:before="200"/>
      </w:pPr>
      <w:r>
        <w:rPr>
          <w:rFonts w:ascii="Arial" w:cs="Arial" w:eastAsia="Arial" w:hAnsi="Arial"/>
          <w:b/>
          <w:bCs/>
          <w:color w:val="2E5EA8"/>
          <w:sz w:val="26"/>
          <w:szCs w:val="26"/>
        </w:rPr>
        <w:t xml:space="preserve">4. How to Apply</w:t>
      </w:r>
    </w:p>
    <w:p>
      <w:pPr>
        <w:spacing w:after="140"/>
      </w:pPr>
      <w:r>
        <w:rPr>
          <w:rFonts w:ascii="Arial" w:cs="Arial" w:eastAsia="Arial" w:hAnsi="Arial"/>
          <w:sz w:val="22"/>
          <w:szCs w:val="22"/>
        </w:rPr>
        <w:t xml:space="preserve">Applications for discretionary business rates relief should be submitted in writing to the Revenues &amp; Benefits team with supporting financial evidence. Decisions will be made within 28 days of receipt of a complete application.</w:t>
      </w:r>
    </w:p>
    <w:p>
      <w:pPr>
        <w:pBdr>
          <w:bottom w:val="single" w:color="1A3C6B" w:sz="6" w:space="1"/>
        </w:pBdr>
        <w:spacing w:after="140"/>
      </w:pPr>
    </w:p>
    <w:p>
      <w:pPr>
        <w:spacing w:after="140"/>
      </w:pPr>
      <w:r>
        <w:rPr>
          <w:rFonts w:ascii="Arial" w:cs="Arial" w:eastAsia="Arial" w:hAnsi="Arial"/>
          <w:i/>
          <w:iCs/>
          <w:sz w:val="22"/>
          <w:szCs w:val="22"/>
        </w:rPr>
        <w:t xml:space="preserve">Revenues &amp; Benefits: revenues@ambridge.gov.uk</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666666"/>
        <w:sz w:val="18"/>
        <w:szCs w:val="18"/>
      </w:rPr>
      <w:t xml:space="preserve">Ambridge District Council  •  Page </w:t>
    </w:r>
    <w:r>
      <w:rPr>
        <w:rFonts w:ascii="Arial" w:cs="Arial" w:eastAsia="Arial" w:hAnsi="Arial"/>
        <w:color w:val="666666"/>
        <w:sz w:val="18"/>
        <w:szCs w:val="18"/>
      </w:rPr>
      <w:fldChar w:fldCharType="begin"/>
      <w:instrText xml:space="preserve">PAGE</w:instrText>
      <w:fldChar w:fldCharType="separate"/>
      <w:fldChar w:fldCharType="end"/>
    </w:r>
    <w:r>
      <w:rPr>
        <w:rFonts w:ascii="Arial" w:cs="Arial" w:eastAsia="Arial" w:hAnsi="Arial"/>
        <w:color w:val="666666"/>
        <w:sz w:val="18"/>
        <w:szCs w:val="18"/>
      </w:rPr>
      <w:t xml:space="preserve">  •  Public Document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A3C6B" w:sz="6" w:space="1"/>
      </w:pBdr>
      <w:spacing w:after="80"/>
    </w:pPr>
    <w:r>
      <w:rPr>
        <w:rFonts w:ascii="Arial" w:cs="Arial" w:eastAsia="Arial" w:hAnsi="Arial"/>
        <w:b/>
        <w:bCs/>
        <w:color w:val="1A3C6B"/>
        <w:sz w:val="18"/>
        <w:szCs w:val="18"/>
      </w:rPr>
      <w:t xml:space="preserve">AMBRIDGE DISTRICT COUNCIL  |  Democratic Services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40" w:before="240"/>
      <w:outlineLvl w:val="0"/>
    </w:pPr>
    <w:rPr>
      <w:rFonts w:ascii="Arial" w:cs="Arial" w:eastAsia="Arial" w:hAnsi="Arial"/>
      <w:b/>
      <w:bCs/>
      <w:color w:val="1A3C6B"/>
      <w:sz w:val="32"/>
      <w:szCs w:val="32"/>
    </w:rPr>
  </w:style>
  <w:style w:type="paragraph" w:styleId="Heading2">
    <w:name w:val="Heading 2"/>
    <w:basedOn w:val="Normal"/>
    <w:next w:val="Normal"/>
    <w:qFormat/>
    <w:pPr>
      <w:spacing w:after="180" w:before="180"/>
      <w:outlineLvl w:val="1"/>
    </w:pPr>
    <w:rPr>
      <w:rFonts w:ascii="Arial" w:cs="Arial" w:eastAsia="Arial" w:hAnsi="Arial"/>
      <w:b/>
      <w:bCs/>
      <w:color w:val="2E5EA8"/>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2026-04-28T04:59:31.936Z</dcterms:created>
  <dcterms:modified xsi:type="dcterms:W3CDTF">2026-04-28T04:59:31.936Z</dcterms:modified>
</cp:coreProperties>
</file>

<file path=docProps/custom.xml><?xml version="1.0" encoding="utf-8"?>
<Properties xmlns="http://schemas.openxmlformats.org/officeDocument/2006/custom-properties" xmlns:vt="http://schemas.openxmlformats.org/officeDocument/2006/docPropsVTypes"/>
</file>